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7F" w:rsidRPr="00D4197F" w:rsidRDefault="00D4197F" w:rsidP="00880FAB">
      <w:pPr>
        <w:spacing w:after="150" w:line="240" w:lineRule="auto"/>
        <w:jc w:val="center"/>
        <w:rPr>
          <w:rFonts w:ascii="Times New Roman" w:eastAsia="Times New Roman" w:hAnsi="Times New Roman" w:cs="Times New Roman"/>
          <w:b/>
          <w:bCs/>
          <w:color w:val="222222"/>
          <w:sz w:val="21"/>
          <w:szCs w:val="21"/>
          <w:lang w:eastAsia="ru-RU"/>
        </w:rPr>
      </w:pPr>
    </w:p>
    <w:p w:rsidR="00D4197F" w:rsidRPr="00D4197F" w:rsidRDefault="00D4197F" w:rsidP="00D4197F">
      <w:pPr>
        <w:tabs>
          <w:tab w:val="left" w:pos="1080"/>
        </w:tabs>
        <w:ind w:firstLine="567"/>
        <w:jc w:val="center"/>
        <w:rPr>
          <w:rFonts w:ascii="Times New Roman" w:hAnsi="Times New Roman" w:cs="Times New Roman"/>
          <w:b/>
        </w:rPr>
      </w:pPr>
    </w:p>
    <w:tbl>
      <w:tblPr>
        <w:tblW w:w="0" w:type="auto"/>
        <w:tblLayout w:type="fixed"/>
        <w:tblCellMar>
          <w:left w:w="0" w:type="dxa"/>
          <w:right w:w="0" w:type="dxa"/>
        </w:tblCellMar>
        <w:tblLook w:val="04A0" w:firstRow="1" w:lastRow="0" w:firstColumn="1" w:lastColumn="0" w:noHBand="0" w:noVBand="1"/>
      </w:tblPr>
      <w:tblGrid>
        <w:gridCol w:w="3320"/>
        <w:gridCol w:w="3940"/>
        <w:gridCol w:w="3540"/>
      </w:tblGrid>
      <w:tr w:rsidR="00D4197F" w:rsidRPr="00D4197F" w:rsidTr="00D4197F">
        <w:trPr>
          <w:trHeight w:val="276"/>
        </w:trPr>
        <w:tc>
          <w:tcPr>
            <w:tcW w:w="3320" w:type="dxa"/>
            <w:vAlign w:val="bottom"/>
            <w:hideMark/>
          </w:tcPr>
          <w:p w:rsidR="00D4197F" w:rsidRPr="00D4197F" w:rsidRDefault="00D4197F">
            <w:pPr>
              <w:rPr>
                <w:rFonts w:ascii="Times New Roman" w:hAnsi="Times New Roman" w:cs="Times New Roman"/>
                <w:sz w:val="20"/>
                <w:szCs w:val="20"/>
              </w:rPr>
            </w:pPr>
            <w:r w:rsidRPr="00D4197F">
              <w:rPr>
                <w:rFonts w:ascii="Times New Roman" w:hAnsi="Times New Roman" w:cs="Times New Roman"/>
              </w:rPr>
              <w:t>Согласовано:</w:t>
            </w:r>
          </w:p>
        </w:tc>
        <w:tc>
          <w:tcPr>
            <w:tcW w:w="3940" w:type="dxa"/>
            <w:vAlign w:val="bottom"/>
            <w:hideMark/>
          </w:tcPr>
          <w:p w:rsidR="00D4197F" w:rsidRPr="00D4197F" w:rsidRDefault="00D4197F">
            <w:pPr>
              <w:ind w:left="340"/>
              <w:rPr>
                <w:rFonts w:ascii="Times New Roman" w:hAnsi="Times New Roman" w:cs="Times New Roman"/>
                <w:sz w:val="20"/>
                <w:szCs w:val="20"/>
              </w:rPr>
            </w:pPr>
            <w:r w:rsidRPr="00D4197F">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2082800</wp:posOffset>
                  </wp:positionH>
                  <wp:positionV relativeFrom="paragraph">
                    <wp:posOffset>51435</wp:posOffset>
                  </wp:positionV>
                  <wp:extent cx="1216660" cy="1123950"/>
                  <wp:effectExtent l="0" t="0" r="2540" b="0"/>
                  <wp:wrapNone/>
                  <wp:docPr id="1" name="Рисунок 1" descr="1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008"/>
                          <pic:cNvPicPr>
                            <a:picLocks noChangeAspect="1" noChangeArrowheads="1"/>
                          </pic:cNvPicPr>
                        </pic:nvPicPr>
                        <pic:blipFill>
                          <a:blip r:embed="rId5">
                            <a:extLst>
                              <a:ext uri="{28A0092B-C50C-407E-A947-70E740481C1C}">
                                <a14:useLocalDpi xmlns:a14="http://schemas.microsoft.com/office/drawing/2010/main" val="0"/>
                              </a:ext>
                            </a:extLst>
                          </a:blip>
                          <a:srcRect l="21039" t="9840" r="58441" b="76477"/>
                          <a:stretch>
                            <a:fillRect/>
                          </a:stretch>
                        </pic:blipFill>
                        <pic:spPr bwMode="auto">
                          <a:xfrm>
                            <a:off x="0" y="0"/>
                            <a:ext cx="1216660" cy="1123950"/>
                          </a:xfrm>
                          <a:prstGeom prst="rect">
                            <a:avLst/>
                          </a:prstGeom>
                          <a:noFill/>
                        </pic:spPr>
                      </pic:pic>
                    </a:graphicData>
                  </a:graphic>
                  <wp14:sizeRelH relativeFrom="page">
                    <wp14:pctWidth>0</wp14:pctWidth>
                  </wp14:sizeRelH>
                  <wp14:sizeRelV relativeFrom="page">
                    <wp14:pctHeight>0</wp14:pctHeight>
                  </wp14:sizeRelV>
                </wp:anchor>
              </w:drawing>
            </w:r>
            <w:r w:rsidRPr="00D4197F">
              <w:rPr>
                <w:rFonts w:ascii="Times New Roman" w:hAnsi="Times New Roman" w:cs="Times New Roman"/>
              </w:rPr>
              <w:t>Принято:</w:t>
            </w:r>
          </w:p>
        </w:tc>
        <w:tc>
          <w:tcPr>
            <w:tcW w:w="3540" w:type="dxa"/>
            <w:vAlign w:val="bottom"/>
            <w:hideMark/>
          </w:tcPr>
          <w:p w:rsidR="00D4197F" w:rsidRPr="00D4197F" w:rsidRDefault="00D4197F">
            <w:pPr>
              <w:ind w:left="120"/>
              <w:rPr>
                <w:rFonts w:ascii="Times New Roman" w:hAnsi="Times New Roman" w:cs="Times New Roman"/>
                <w:sz w:val="20"/>
                <w:szCs w:val="20"/>
              </w:rPr>
            </w:pPr>
            <w:r w:rsidRPr="00D4197F">
              <w:rPr>
                <w:rFonts w:ascii="Times New Roman" w:hAnsi="Times New Roman" w:cs="Times New Roman"/>
              </w:rPr>
              <w:t>Утвержден</w:t>
            </w:r>
          </w:p>
        </w:tc>
      </w:tr>
      <w:tr w:rsidR="00D4197F" w:rsidRPr="00D4197F" w:rsidTr="00D4197F">
        <w:trPr>
          <w:trHeight w:val="278"/>
        </w:trPr>
        <w:tc>
          <w:tcPr>
            <w:tcW w:w="3320" w:type="dxa"/>
            <w:vAlign w:val="bottom"/>
            <w:hideMark/>
          </w:tcPr>
          <w:p w:rsidR="00D4197F" w:rsidRPr="00D4197F" w:rsidRDefault="00D4197F">
            <w:pPr>
              <w:rPr>
                <w:rFonts w:ascii="Times New Roman" w:hAnsi="Times New Roman" w:cs="Times New Roman"/>
                <w:sz w:val="20"/>
                <w:szCs w:val="20"/>
              </w:rPr>
            </w:pPr>
            <w:r w:rsidRPr="00D4197F">
              <w:rPr>
                <w:rFonts w:ascii="Times New Roman" w:hAnsi="Times New Roman" w:cs="Times New Roman"/>
              </w:rPr>
              <w:t>Совет  Школы</w:t>
            </w:r>
          </w:p>
        </w:tc>
        <w:tc>
          <w:tcPr>
            <w:tcW w:w="3940" w:type="dxa"/>
            <w:vAlign w:val="bottom"/>
            <w:hideMark/>
          </w:tcPr>
          <w:p w:rsidR="00D4197F" w:rsidRPr="00D4197F" w:rsidRDefault="00D4197F">
            <w:pPr>
              <w:ind w:left="340"/>
              <w:rPr>
                <w:rFonts w:ascii="Times New Roman" w:hAnsi="Times New Roman" w:cs="Times New Roman"/>
                <w:sz w:val="20"/>
                <w:szCs w:val="20"/>
              </w:rPr>
            </w:pPr>
            <w:r w:rsidRPr="00D4197F">
              <w:rPr>
                <w:rFonts w:ascii="Times New Roman" w:hAnsi="Times New Roman" w:cs="Times New Roman"/>
              </w:rPr>
              <w:t>на   заседании   педагогического</w:t>
            </w:r>
          </w:p>
        </w:tc>
        <w:tc>
          <w:tcPr>
            <w:tcW w:w="3540" w:type="dxa"/>
            <w:vAlign w:val="bottom"/>
            <w:hideMark/>
          </w:tcPr>
          <w:p w:rsidR="00D4197F" w:rsidRPr="00D4197F" w:rsidRDefault="00D4197F">
            <w:pPr>
              <w:ind w:left="120"/>
              <w:rPr>
                <w:rFonts w:ascii="Times New Roman" w:hAnsi="Times New Roman" w:cs="Times New Roman"/>
                <w:sz w:val="20"/>
                <w:szCs w:val="20"/>
              </w:rPr>
            </w:pPr>
            <w:r w:rsidRPr="00D4197F">
              <w:rPr>
                <w:rFonts w:ascii="Times New Roman" w:hAnsi="Times New Roman" w:cs="Times New Roman"/>
              </w:rPr>
              <w:t>Приказом    директора    МКОУ</w:t>
            </w:r>
          </w:p>
        </w:tc>
      </w:tr>
      <w:tr w:rsidR="00D4197F" w:rsidRPr="00D4197F" w:rsidTr="00D4197F">
        <w:trPr>
          <w:trHeight w:val="274"/>
        </w:trPr>
        <w:tc>
          <w:tcPr>
            <w:tcW w:w="3320" w:type="dxa"/>
            <w:vAlign w:val="bottom"/>
            <w:hideMark/>
          </w:tcPr>
          <w:p w:rsidR="00D4197F" w:rsidRPr="00D4197F" w:rsidRDefault="00D4197F">
            <w:pPr>
              <w:spacing w:line="273" w:lineRule="exact"/>
              <w:rPr>
                <w:rFonts w:ascii="Times New Roman" w:hAnsi="Times New Roman" w:cs="Times New Roman"/>
                <w:sz w:val="20"/>
                <w:szCs w:val="20"/>
              </w:rPr>
            </w:pPr>
            <w:r w:rsidRPr="00D4197F">
              <w:rPr>
                <w:rFonts w:ascii="Times New Roman" w:hAnsi="Times New Roman" w:cs="Times New Roman"/>
              </w:rPr>
              <w:t>Протокол от 02.08.2022 № 20</w:t>
            </w:r>
          </w:p>
        </w:tc>
        <w:tc>
          <w:tcPr>
            <w:tcW w:w="3940" w:type="dxa"/>
            <w:vAlign w:val="bottom"/>
            <w:hideMark/>
          </w:tcPr>
          <w:p w:rsidR="00D4197F" w:rsidRPr="00D4197F" w:rsidRDefault="00D4197F">
            <w:pPr>
              <w:spacing w:line="273" w:lineRule="exact"/>
              <w:ind w:left="340"/>
              <w:rPr>
                <w:rFonts w:ascii="Times New Roman" w:hAnsi="Times New Roman" w:cs="Times New Roman"/>
                <w:sz w:val="20"/>
                <w:szCs w:val="20"/>
              </w:rPr>
            </w:pPr>
            <w:r w:rsidRPr="00D4197F">
              <w:rPr>
                <w:rFonts w:ascii="Times New Roman" w:hAnsi="Times New Roman" w:cs="Times New Roman"/>
              </w:rPr>
              <w:t>совета</w:t>
            </w:r>
          </w:p>
        </w:tc>
        <w:tc>
          <w:tcPr>
            <w:tcW w:w="3540" w:type="dxa"/>
            <w:vAlign w:val="bottom"/>
            <w:hideMark/>
          </w:tcPr>
          <w:p w:rsidR="00D4197F" w:rsidRPr="00D4197F" w:rsidRDefault="00D4197F">
            <w:pPr>
              <w:spacing w:line="273" w:lineRule="exact"/>
              <w:ind w:left="120"/>
              <w:rPr>
                <w:rFonts w:ascii="Times New Roman" w:hAnsi="Times New Roman" w:cs="Times New Roman"/>
                <w:sz w:val="20"/>
                <w:szCs w:val="20"/>
              </w:rPr>
            </w:pPr>
            <w:r w:rsidRPr="00D4197F">
              <w:rPr>
                <w:rFonts w:ascii="Times New Roman" w:hAnsi="Times New Roman" w:cs="Times New Roman"/>
              </w:rPr>
              <w:t>«</w:t>
            </w:r>
            <w:proofErr w:type="spellStart"/>
            <w:r w:rsidRPr="00D4197F">
              <w:rPr>
                <w:rFonts w:ascii="Times New Roman" w:hAnsi="Times New Roman" w:cs="Times New Roman"/>
              </w:rPr>
              <w:t>Голухинская</w:t>
            </w:r>
            <w:proofErr w:type="spellEnd"/>
            <w:r w:rsidRPr="00D4197F">
              <w:rPr>
                <w:rFonts w:ascii="Times New Roman" w:hAnsi="Times New Roman" w:cs="Times New Roman"/>
              </w:rPr>
              <w:t xml:space="preserve"> СОШ»</w:t>
            </w:r>
          </w:p>
        </w:tc>
      </w:tr>
      <w:tr w:rsidR="00D4197F" w:rsidRPr="00D4197F" w:rsidTr="00D4197F">
        <w:trPr>
          <w:trHeight w:val="278"/>
        </w:trPr>
        <w:tc>
          <w:tcPr>
            <w:tcW w:w="3320" w:type="dxa"/>
            <w:vAlign w:val="bottom"/>
          </w:tcPr>
          <w:p w:rsidR="00D4197F" w:rsidRPr="00D4197F" w:rsidRDefault="00D4197F">
            <w:pPr>
              <w:rPr>
                <w:rFonts w:ascii="Times New Roman" w:hAnsi="Times New Roman" w:cs="Times New Roman"/>
                <w:sz w:val="24"/>
                <w:szCs w:val="24"/>
              </w:rPr>
            </w:pPr>
          </w:p>
        </w:tc>
        <w:tc>
          <w:tcPr>
            <w:tcW w:w="3940" w:type="dxa"/>
            <w:vAlign w:val="bottom"/>
            <w:hideMark/>
          </w:tcPr>
          <w:p w:rsidR="00D4197F" w:rsidRPr="00D4197F" w:rsidRDefault="00D4197F">
            <w:pPr>
              <w:ind w:left="420"/>
              <w:rPr>
                <w:rFonts w:ascii="Times New Roman" w:hAnsi="Times New Roman" w:cs="Times New Roman"/>
                <w:sz w:val="20"/>
                <w:szCs w:val="20"/>
              </w:rPr>
            </w:pPr>
            <w:r w:rsidRPr="00D4197F">
              <w:rPr>
                <w:rFonts w:ascii="Times New Roman" w:hAnsi="Times New Roman" w:cs="Times New Roman"/>
              </w:rPr>
              <w:t>Протокол от 02.08.2022 № 20</w:t>
            </w:r>
          </w:p>
        </w:tc>
        <w:tc>
          <w:tcPr>
            <w:tcW w:w="3540" w:type="dxa"/>
            <w:vAlign w:val="bottom"/>
            <w:hideMark/>
          </w:tcPr>
          <w:p w:rsidR="00D4197F" w:rsidRPr="00D4197F" w:rsidRDefault="00D4197F">
            <w:pPr>
              <w:ind w:left="120"/>
              <w:rPr>
                <w:rFonts w:ascii="Times New Roman" w:hAnsi="Times New Roman" w:cs="Times New Roman"/>
                <w:sz w:val="20"/>
                <w:szCs w:val="20"/>
              </w:rPr>
            </w:pPr>
            <w:r w:rsidRPr="00D4197F">
              <w:rPr>
                <w:rFonts w:ascii="Times New Roman" w:hAnsi="Times New Roman" w:cs="Times New Roman"/>
              </w:rPr>
              <w:t xml:space="preserve">____________ О.В. </w:t>
            </w:r>
            <w:proofErr w:type="spellStart"/>
            <w:r w:rsidRPr="00D4197F">
              <w:rPr>
                <w:rFonts w:ascii="Times New Roman" w:hAnsi="Times New Roman" w:cs="Times New Roman"/>
              </w:rPr>
              <w:t>Бельц</w:t>
            </w:r>
            <w:proofErr w:type="spellEnd"/>
          </w:p>
        </w:tc>
      </w:tr>
      <w:tr w:rsidR="00D4197F" w:rsidRPr="00D4197F" w:rsidTr="00D4197F">
        <w:trPr>
          <w:trHeight w:val="274"/>
        </w:trPr>
        <w:tc>
          <w:tcPr>
            <w:tcW w:w="3320" w:type="dxa"/>
            <w:vAlign w:val="bottom"/>
          </w:tcPr>
          <w:p w:rsidR="00D4197F" w:rsidRPr="00D4197F" w:rsidRDefault="00D4197F">
            <w:pPr>
              <w:rPr>
                <w:rFonts w:ascii="Times New Roman" w:hAnsi="Times New Roman" w:cs="Times New Roman"/>
                <w:sz w:val="23"/>
                <w:szCs w:val="23"/>
              </w:rPr>
            </w:pPr>
          </w:p>
        </w:tc>
        <w:tc>
          <w:tcPr>
            <w:tcW w:w="3940" w:type="dxa"/>
            <w:vAlign w:val="bottom"/>
          </w:tcPr>
          <w:p w:rsidR="00D4197F" w:rsidRPr="00D4197F" w:rsidRDefault="00D4197F">
            <w:pPr>
              <w:rPr>
                <w:rFonts w:ascii="Times New Roman" w:hAnsi="Times New Roman" w:cs="Times New Roman"/>
                <w:sz w:val="23"/>
                <w:szCs w:val="23"/>
              </w:rPr>
            </w:pPr>
          </w:p>
        </w:tc>
        <w:tc>
          <w:tcPr>
            <w:tcW w:w="3540" w:type="dxa"/>
            <w:vAlign w:val="bottom"/>
            <w:hideMark/>
          </w:tcPr>
          <w:p w:rsidR="00D4197F" w:rsidRPr="00D4197F" w:rsidRDefault="00D4197F">
            <w:pPr>
              <w:spacing w:line="273" w:lineRule="exact"/>
              <w:ind w:left="160"/>
              <w:rPr>
                <w:rFonts w:ascii="Times New Roman" w:hAnsi="Times New Roman" w:cs="Times New Roman"/>
                <w:sz w:val="20"/>
                <w:szCs w:val="20"/>
              </w:rPr>
            </w:pPr>
            <w:r w:rsidRPr="00D4197F">
              <w:rPr>
                <w:rFonts w:ascii="Times New Roman" w:hAnsi="Times New Roman" w:cs="Times New Roman"/>
              </w:rPr>
              <w:t>от 02.08.2022 №  90</w:t>
            </w:r>
          </w:p>
        </w:tc>
      </w:tr>
    </w:tbl>
    <w:p w:rsidR="00D4197F" w:rsidRPr="00D4197F" w:rsidRDefault="00D4197F" w:rsidP="00D4197F">
      <w:pPr>
        <w:spacing w:line="238" w:lineRule="exact"/>
        <w:rPr>
          <w:rFonts w:ascii="Times New Roman" w:hAnsi="Times New Roman" w:cs="Times New Roman"/>
          <w:sz w:val="24"/>
          <w:szCs w:val="24"/>
        </w:rPr>
      </w:pPr>
    </w:p>
    <w:p w:rsidR="00D4197F" w:rsidRDefault="00D4197F" w:rsidP="00D4197F">
      <w:pPr>
        <w:tabs>
          <w:tab w:val="left" w:pos="1080"/>
        </w:tabs>
        <w:ind w:firstLine="567"/>
        <w:jc w:val="center"/>
        <w:rPr>
          <w:b/>
        </w:rPr>
      </w:pPr>
    </w:p>
    <w:p w:rsidR="00D4197F" w:rsidRDefault="00D4197F" w:rsidP="00D4197F">
      <w:pPr>
        <w:spacing w:after="150" w:line="240" w:lineRule="auto"/>
        <w:rPr>
          <w:rFonts w:ascii="Arial" w:eastAsia="Times New Roman" w:hAnsi="Arial" w:cs="Arial"/>
          <w:b/>
          <w:bCs/>
          <w:color w:val="222222"/>
          <w:sz w:val="21"/>
          <w:szCs w:val="21"/>
          <w:lang w:eastAsia="ru-RU"/>
        </w:rPr>
      </w:pPr>
    </w:p>
    <w:p w:rsidR="00D4197F" w:rsidRPr="00D4197F" w:rsidRDefault="00E34730" w:rsidP="00880FAB">
      <w:pPr>
        <w:spacing w:after="150" w:line="240" w:lineRule="auto"/>
        <w:jc w:val="center"/>
        <w:rPr>
          <w:rFonts w:ascii="Times New Roman" w:eastAsia="Times New Roman" w:hAnsi="Times New Roman" w:cs="Times New Roman"/>
          <w:b/>
          <w:bCs/>
          <w:color w:val="222222"/>
          <w:sz w:val="32"/>
          <w:szCs w:val="32"/>
          <w:lang w:eastAsia="ru-RU"/>
        </w:rPr>
      </w:pPr>
      <w:r>
        <w:rPr>
          <w:rFonts w:ascii="Times New Roman" w:eastAsia="Times New Roman" w:hAnsi="Times New Roman" w:cs="Times New Roman"/>
          <w:b/>
          <w:bCs/>
          <w:color w:val="222222"/>
          <w:sz w:val="32"/>
          <w:szCs w:val="32"/>
          <w:lang w:eastAsia="ru-RU"/>
        </w:rPr>
        <w:t>ПОЛОЖЕНИЕ</w:t>
      </w:r>
    </w:p>
    <w:p w:rsidR="00880FAB" w:rsidRDefault="00880FAB" w:rsidP="00880FAB">
      <w:pPr>
        <w:spacing w:after="150" w:line="240" w:lineRule="auto"/>
        <w:jc w:val="center"/>
        <w:rPr>
          <w:rFonts w:ascii="Times New Roman" w:eastAsia="Times New Roman" w:hAnsi="Times New Roman" w:cs="Times New Roman"/>
          <w:b/>
          <w:bCs/>
          <w:color w:val="222222"/>
          <w:sz w:val="32"/>
          <w:szCs w:val="32"/>
          <w:lang w:eastAsia="ru-RU"/>
        </w:rPr>
      </w:pPr>
      <w:r w:rsidRPr="00D4197F">
        <w:rPr>
          <w:rFonts w:ascii="Times New Roman" w:eastAsia="Times New Roman" w:hAnsi="Times New Roman" w:cs="Times New Roman"/>
          <w:b/>
          <w:bCs/>
          <w:color w:val="222222"/>
          <w:sz w:val="32"/>
          <w:szCs w:val="32"/>
          <w:lang w:eastAsia="ru-RU"/>
        </w:rPr>
        <w:t>Антикоррупционная политика</w:t>
      </w:r>
    </w:p>
    <w:p w:rsidR="00E34730" w:rsidRPr="00E34730" w:rsidRDefault="00E34730" w:rsidP="00880FAB">
      <w:pPr>
        <w:spacing w:after="150" w:line="240" w:lineRule="auto"/>
        <w:jc w:val="center"/>
        <w:rPr>
          <w:rFonts w:ascii="Times New Roman" w:eastAsia="Times New Roman" w:hAnsi="Times New Roman" w:cs="Times New Roman"/>
          <w:b/>
          <w:bCs/>
          <w:sz w:val="32"/>
          <w:szCs w:val="32"/>
          <w:lang w:eastAsia="ru-RU"/>
        </w:rPr>
      </w:pPr>
      <w:r w:rsidRPr="00E34730">
        <w:rPr>
          <w:rFonts w:ascii="Times New Roman" w:hAnsi="Times New Roman" w:cs="Times New Roman"/>
          <w:b/>
          <w:sz w:val="24"/>
          <w:szCs w:val="24"/>
        </w:rPr>
        <w:t>в МКОУ «</w:t>
      </w:r>
      <w:proofErr w:type="spellStart"/>
      <w:r w:rsidRPr="00E34730">
        <w:rPr>
          <w:rFonts w:ascii="Times New Roman" w:hAnsi="Times New Roman" w:cs="Times New Roman"/>
          <w:b/>
          <w:sz w:val="24"/>
          <w:szCs w:val="24"/>
        </w:rPr>
        <w:t>Голухинская</w:t>
      </w:r>
      <w:proofErr w:type="spellEnd"/>
      <w:r w:rsidRPr="00E34730">
        <w:rPr>
          <w:rFonts w:ascii="Times New Roman" w:hAnsi="Times New Roman" w:cs="Times New Roman"/>
          <w:b/>
          <w:sz w:val="24"/>
          <w:szCs w:val="24"/>
        </w:rPr>
        <w:t xml:space="preserve"> СОШ».</w:t>
      </w:r>
    </w:p>
    <w:p w:rsidR="00880FAB" w:rsidRPr="00880FAB" w:rsidRDefault="00880FAB" w:rsidP="00880FAB">
      <w:pPr>
        <w:spacing w:after="0" w:line="240" w:lineRule="auto"/>
        <w:rPr>
          <w:rFonts w:ascii="Times New Roman" w:eastAsia="Times New Roman" w:hAnsi="Times New Roman" w:cs="Times New Roman"/>
          <w:sz w:val="24"/>
          <w:szCs w:val="24"/>
          <w:lang w:eastAsia="ru-RU"/>
        </w:rPr>
      </w:pPr>
      <w:r w:rsidRPr="00880FAB">
        <w:rPr>
          <w:rFonts w:ascii="Times New Roman" w:eastAsia="Times New Roman" w:hAnsi="Times New Roman" w:cs="Times New Roman"/>
          <w:b/>
          <w:bCs/>
          <w:sz w:val="24"/>
          <w:szCs w:val="24"/>
          <w:lang w:eastAsia="ru-RU"/>
        </w:rPr>
        <w:br/>
      </w:r>
      <w:bookmarkStart w:id="0" w:name="_GoBack"/>
      <w:bookmarkEnd w:id="0"/>
    </w:p>
    <w:p w:rsidR="00880FAB" w:rsidRPr="001E7D03" w:rsidRDefault="00880FAB" w:rsidP="001E7D03">
      <w:pPr>
        <w:rPr>
          <w:rFonts w:ascii="Times New Roman" w:hAnsi="Times New Roman" w:cs="Times New Roman"/>
          <w:b/>
          <w:sz w:val="24"/>
          <w:szCs w:val="24"/>
        </w:rPr>
      </w:pPr>
      <w:r w:rsidRPr="001E7D03">
        <w:rPr>
          <w:rFonts w:ascii="Times New Roman" w:hAnsi="Times New Roman" w:cs="Times New Roman"/>
          <w:b/>
          <w:sz w:val="24"/>
          <w:szCs w:val="24"/>
        </w:rPr>
        <w:t>1. Общие положения</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1.1. Настоящая антикоррупционная политика муниципального казённого общеобразовательного учреждения «</w:t>
      </w:r>
      <w:proofErr w:type="spellStart"/>
      <w:r w:rsidRPr="001E7D03">
        <w:rPr>
          <w:rFonts w:ascii="Times New Roman" w:hAnsi="Times New Roman" w:cs="Times New Roman"/>
          <w:sz w:val="24"/>
          <w:szCs w:val="24"/>
        </w:rPr>
        <w:t>Голухинская</w:t>
      </w:r>
      <w:proofErr w:type="spellEnd"/>
      <w:r w:rsidRPr="001E7D03">
        <w:rPr>
          <w:rFonts w:ascii="Times New Roman" w:hAnsi="Times New Roman" w:cs="Times New Roman"/>
          <w:sz w:val="24"/>
          <w:szCs w:val="24"/>
        </w:rPr>
        <w:t xml:space="preserve"> средняя общеобразовательная школа» </w:t>
      </w:r>
      <w:proofErr w:type="spellStart"/>
      <w:r w:rsidRPr="001E7D03">
        <w:rPr>
          <w:rFonts w:ascii="Times New Roman" w:hAnsi="Times New Roman" w:cs="Times New Roman"/>
          <w:sz w:val="24"/>
          <w:szCs w:val="24"/>
        </w:rPr>
        <w:t>Заринского</w:t>
      </w:r>
      <w:proofErr w:type="spellEnd"/>
      <w:r w:rsidRPr="001E7D03">
        <w:rPr>
          <w:rFonts w:ascii="Times New Roman" w:hAnsi="Times New Roman" w:cs="Times New Roman"/>
          <w:sz w:val="24"/>
          <w:szCs w:val="24"/>
        </w:rPr>
        <w:t xml:space="preserve"> района Алтайского края (МКОУ «</w:t>
      </w:r>
      <w:proofErr w:type="spellStart"/>
      <w:r w:rsidRPr="001E7D03">
        <w:rPr>
          <w:rFonts w:ascii="Times New Roman" w:hAnsi="Times New Roman" w:cs="Times New Roman"/>
          <w:sz w:val="24"/>
          <w:szCs w:val="24"/>
        </w:rPr>
        <w:t>Голухинская</w:t>
      </w:r>
      <w:proofErr w:type="spellEnd"/>
      <w:r w:rsidRPr="001E7D03">
        <w:rPr>
          <w:rFonts w:ascii="Times New Roman" w:hAnsi="Times New Roman" w:cs="Times New Roman"/>
          <w:sz w:val="24"/>
          <w:szCs w:val="24"/>
        </w:rPr>
        <w:t xml:space="preserve"> СОШ») (далее – Политика) составлена в рамках исполнения Федерального закона от 25.12.2008 № 273-ФЗ «О противодействии коррупции» с целью реализации мер по предупреждению коррупции.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1.2. Политика МКОУ «</w:t>
      </w:r>
      <w:proofErr w:type="spellStart"/>
      <w:r w:rsidRPr="001E7D03">
        <w:rPr>
          <w:rFonts w:ascii="Times New Roman" w:hAnsi="Times New Roman" w:cs="Times New Roman"/>
          <w:sz w:val="24"/>
          <w:szCs w:val="24"/>
        </w:rPr>
        <w:t>Голухинская</w:t>
      </w:r>
      <w:proofErr w:type="spellEnd"/>
      <w:r w:rsidRPr="001E7D03">
        <w:rPr>
          <w:rFonts w:ascii="Times New Roman" w:hAnsi="Times New Roman" w:cs="Times New Roman"/>
          <w:sz w:val="24"/>
          <w:szCs w:val="24"/>
        </w:rPr>
        <w:t xml:space="preserve"> СОШ») представляет собой комплекс закрепленных взаимосвязанных принципов, процедур и мероприятий, направленных на профилактику и пресечение коррупционных правонарушений в деятельности МКОУ «</w:t>
      </w:r>
      <w:proofErr w:type="spellStart"/>
      <w:r w:rsidRPr="001E7D03">
        <w:rPr>
          <w:rFonts w:ascii="Times New Roman" w:hAnsi="Times New Roman" w:cs="Times New Roman"/>
          <w:sz w:val="24"/>
          <w:szCs w:val="24"/>
        </w:rPr>
        <w:t>Голухинская</w:t>
      </w:r>
      <w:proofErr w:type="spellEnd"/>
      <w:r w:rsidRPr="001E7D03">
        <w:rPr>
          <w:rFonts w:ascii="Times New Roman" w:hAnsi="Times New Roman" w:cs="Times New Roman"/>
          <w:sz w:val="24"/>
          <w:szCs w:val="24"/>
        </w:rPr>
        <w:t xml:space="preserve"> СОШ</w:t>
      </w:r>
      <w:proofErr w:type="gramStart"/>
      <w:r w:rsidRPr="001E7D03">
        <w:rPr>
          <w:rFonts w:ascii="Times New Roman" w:hAnsi="Times New Roman" w:cs="Times New Roman"/>
          <w:sz w:val="24"/>
          <w:szCs w:val="24"/>
        </w:rPr>
        <w:t>»)  (</w:t>
      </w:r>
      <w:proofErr w:type="gramEnd"/>
      <w:r w:rsidRPr="001E7D03">
        <w:rPr>
          <w:rFonts w:ascii="Times New Roman" w:hAnsi="Times New Roman" w:cs="Times New Roman"/>
          <w:sz w:val="24"/>
          <w:szCs w:val="24"/>
        </w:rPr>
        <w:t>далее – Организация).</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1.3. Положения Политики распространяются на всех работников вне зависимости от занимаемой должности.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1.4. Для целей Политики используются следующие основные понятия:</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подобных деяний от имени или в интересах юридического лица;</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 xml:space="preserve">взятка – деньги, ценные бумаги, иное имущества либо незаконное оказание услуг имущественного характера, предоставление иных имущественных прав, передаваемые должностному лицу,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w:t>
      </w:r>
      <w:r w:rsidRPr="001E7D03">
        <w:rPr>
          <w:rFonts w:ascii="Times New Roman" w:hAnsi="Times New Roman" w:cs="Times New Roman"/>
          <w:sz w:val="24"/>
          <w:szCs w:val="24"/>
        </w:rPr>
        <w:lastRenderedPageBreak/>
        <w:t>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РФ, органов местного самоуправления, институтов гражданского общества, организаций и физических лиц в пределах их полномочий: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2) выявлению, предупреждению, пресечению, раскрытию и расследованию коррупционных правонарушений (борьба с коррупцией);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3) минимизации и (или) ликвидации последствий коррупционных правонарушений;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контрагент – любое юридическое или физическое лицо, с которым Организация вступает в договорные отношения, за исключением трудовых отношений;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880FAB" w:rsidRPr="00D4197F" w:rsidRDefault="00880FAB" w:rsidP="001E7D03">
      <w:pPr>
        <w:rPr>
          <w:rFonts w:ascii="Times New Roman" w:hAnsi="Times New Roman" w:cs="Times New Roman"/>
          <w:b/>
          <w:sz w:val="24"/>
          <w:szCs w:val="24"/>
        </w:rPr>
      </w:pPr>
      <w:r w:rsidRPr="00D4197F">
        <w:rPr>
          <w:rFonts w:ascii="Times New Roman" w:hAnsi="Times New Roman" w:cs="Times New Roman"/>
          <w:b/>
          <w:sz w:val="24"/>
          <w:szCs w:val="24"/>
        </w:rPr>
        <w:t>2. Цели и задачи Политики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2.1. Целями Политики являются:</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обеспечение соответствия деятельности Организации требованиям антикоррупционного законодательства;</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минимизация рисков вовлечения Организации и его работников в коррупционную деятельность;</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формирование единого подхода к организации работы по предупреждению коррупции в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lastRenderedPageBreak/>
        <w:t>формирование у работников нетерпимости к коррупционному поведению.</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2.2. Для достижения поставленных целей необходимо решить следующие задачи: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сформировать у работников единообразное понимание позиции Организации о неприятии коррупции в любых формах и проявлениях;</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минимизировать риски вовлечения работников в коррупционную деятельность;</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определить должностных лиц, ответственных за реализацию Политики и антикоррупционных мер;</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информировать работников о нормативном правовом обеспечении работы по предупреждению коррупции и ответственности за совершение коррупционных правонарушений.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2.3. Ключевыми принципами реализации Политики являются:</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1) неприятие коррупции в любых формах и проявлениях. Организация содействует воспитанию правового и гражданского сознания работников путем формирования негативного отношения к коррупционным проявлениям;</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2) эффективность мероприятий по противодействию коррупции. Создание эффективной системы противодействия коррупции, а также ее систематическое совершенствование с учетом изменения условий внутренней и внешней среды, в том числе законодательства РФ;</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3) открытость информации. Обеспечение доступности для граждан, юридических лиц, средств массовой информации и институтов гражданского общества к сведениям о своей деятельности, которые в соответствии с действующим законодательством РФ не являются сведениями ограниченного доступа.</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В рамках реализации принципа открытости информации Организация создает на своем официальном сайте подраздел по вопросам противодействия коррупции. Подраздел наполняется следующей информацией: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нормативными правовыми и иными актами в сфере противодействия коррупции в действующей редакции;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внутренними документами Организации по вопросам противодействия коррупции;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памятками, плакатами иным вспомогательным материалом по вопросам профилактики коррупции.</w:t>
      </w:r>
    </w:p>
    <w:p w:rsidR="00880FAB" w:rsidRPr="00D4197F" w:rsidRDefault="00880FAB" w:rsidP="001E7D03">
      <w:pPr>
        <w:rPr>
          <w:rFonts w:ascii="Times New Roman" w:hAnsi="Times New Roman" w:cs="Times New Roman"/>
          <w:b/>
          <w:sz w:val="24"/>
          <w:szCs w:val="24"/>
        </w:rPr>
      </w:pPr>
      <w:r w:rsidRPr="00D4197F">
        <w:rPr>
          <w:rFonts w:ascii="Times New Roman" w:hAnsi="Times New Roman" w:cs="Times New Roman"/>
          <w:b/>
          <w:sz w:val="24"/>
          <w:szCs w:val="24"/>
        </w:rPr>
        <w:t>3. Обязанности руководителей и работников, связанные с предупреждением коррупции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3.1. Работники Организации знакомятся с Политикой под подпись при принятии на работу или в течение семи рабочих дней после внесения в Политику изменений.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3.2. Руководитель и работники вне зависимости от должности и стажа работы в связи с исполнением ими трудовых обязанностей в соответствии с трудовым договором должны:</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руководствоваться требованиями Политики и соблюдать ее;</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воздерживаться от совершения и (или) участия в совершении коррупционных правонарушений, в том числе в интересах или от имени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lastRenderedPageBreak/>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3.3. Работник вне зависимости от должности и стажа работы в связи с исполнением им трудовых обязанностей в соответствии с трудовым договором должен:</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незамедлительно информировать руководителя Организации и своего непосредственного руководителя о случаях склонения его к совершению коррупционных правонарушений;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незамедлительно информировать руководителя Организации и своего непосредственного руководителя о ставших известными ему случаях совершения коррупционных правонарушений другими работниками;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сообщить руководителю Организации и своему непосредственному руководителю о возникшем конфликте интересов либо о возможности его возникновения.</w:t>
      </w:r>
    </w:p>
    <w:p w:rsidR="00880FAB" w:rsidRPr="00D4197F" w:rsidRDefault="00880FAB" w:rsidP="001E7D03">
      <w:pPr>
        <w:rPr>
          <w:rFonts w:ascii="Times New Roman" w:hAnsi="Times New Roman" w:cs="Times New Roman"/>
          <w:b/>
          <w:sz w:val="24"/>
          <w:szCs w:val="24"/>
        </w:rPr>
      </w:pPr>
      <w:r w:rsidRPr="00D4197F">
        <w:rPr>
          <w:rFonts w:ascii="Times New Roman" w:hAnsi="Times New Roman" w:cs="Times New Roman"/>
          <w:b/>
          <w:sz w:val="24"/>
          <w:szCs w:val="24"/>
        </w:rPr>
        <w:t>4. Должностные лица, ответственные за реализацию Политики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4.1. Руководитель Организации является ответственным за организацию всех мероприятий, направленных на предупреждение коррупции в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4.2. Руководитель Организации исходя из стоящих перед Организацией задач, специфики деятельности, штатной численности, организационной структуры назначает лицо или несколько лиц, ответственных за реализацию Политики и проведение антикоррупционной работы в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4.3. Основные обязанности должностного лица (должностных лиц), ответственного (ответственных) за реализацию Политики и проведение антикоррупционной работы в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проводить мониторинг информации с целью предупреждения коррупционных правонарушений в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разрабатывать локальные нормативные акты, направленные на предупреждение коррупции в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реализовывать и контролировать меры по предупреждению коррупции в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оценивать коррупционные риски в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4.4. Остальные полномочия ответственного за реализацию Политики и проведение антикоррупционной работы в Организации определяются его должностной инструкцией.</w:t>
      </w:r>
    </w:p>
    <w:p w:rsidR="00880FAB" w:rsidRPr="00D4197F" w:rsidRDefault="00880FAB" w:rsidP="001E7D03">
      <w:pPr>
        <w:rPr>
          <w:rFonts w:ascii="Times New Roman" w:hAnsi="Times New Roman" w:cs="Times New Roman"/>
          <w:b/>
          <w:sz w:val="24"/>
          <w:szCs w:val="24"/>
        </w:rPr>
      </w:pPr>
      <w:r w:rsidRPr="00D4197F">
        <w:rPr>
          <w:rFonts w:ascii="Times New Roman" w:hAnsi="Times New Roman" w:cs="Times New Roman"/>
          <w:b/>
          <w:sz w:val="24"/>
          <w:szCs w:val="24"/>
        </w:rPr>
        <w:t>5. Ответственность за несоблюдение требований Политики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5.1. Руководители структурных подразделений являются ответственными за обеспечение контроля за соблюдением требований Политики своими подчиненными.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5.2. Лица, виновные в нарушении требований Политики и антикоррупционного законодательства, несут ответственность в порядке и по основаниям, предусмотренным законодательством РФ, в том числе могут подвергаться дисциплинарным взысканиям.</w:t>
      </w:r>
    </w:p>
    <w:p w:rsidR="00880FAB" w:rsidRPr="00D4197F" w:rsidRDefault="00880FAB" w:rsidP="001E7D03">
      <w:pPr>
        <w:rPr>
          <w:rFonts w:ascii="Times New Roman" w:hAnsi="Times New Roman" w:cs="Times New Roman"/>
          <w:b/>
          <w:sz w:val="24"/>
          <w:szCs w:val="24"/>
        </w:rPr>
      </w:pPr>
      <w:r w:rsidRPr="00D4197F">
        <w:rPr>
          <w:rFonts w:ascii="Times New Roman" w:hAnsi="Times New Roman" w:cs="Times New Roman"/>
          <w:b/>
          <w:sz w:val="24"/>
          <w:szCs w:val="24"/>
        </w:rPr>
        <w:t>6. Оценка коррупционных рисков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 xml:space="preserve">6.1. Целью оценки коррупционных рисков является определение конкретных процессов и видов деятельности Организации, при реализации которых наиболее высока вероятность совершения </w:t>
      </w:r>
      <w:r w:rsidRPr="001E7D03">
        <w:rPr>
          <w:rFonts w:ascii="Times New Roman" w:hAnsi="Times New Roman" w:cs="Times New Roman"/>
          <w:sz w:val="24"/>
          <w:szCs w:val="24"/>
        </w:rPr>
        <w:lastRenderedPageBreak/>
        <w:t>работниками коррупционных правонарушений как в целях получения личной выгоды, так и в целях получения выгоды Организацией.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6.2. Оценка коррупционных рисков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6.3. Порядок проведения оценки коррупционных рисков. Процедура оценки коррупционных рисков состоит из четырех последовательных этапов: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подготовительного;</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описания процессов;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идентификации коррупционных рисков;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анализа коррупционных рисков.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6.3.1. На подготовительном этапе руководитель Организации принимает решение о проведении оценки коррупционных рисков, определяет методику и план, назначает лиц, ответственных за проведение оценки, определяет полномочия работников в связи с проведением оценки.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Оценка коррупционных рисков может быть поручена работникам Организации и специальной организации, с которой заключается договор на оказание услуг.</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6.3.2. На этапе описания бизнес-процессов ответственные представляют все направления деятельности Организации в форме бизнес-процессов и </w:t>
      </w:r>
      <w:proofErr w:type="spellStart"/>
      <w:r w:rsidRPr="001E7D03">
        <w:rPr>
          <w:rFonts w:ascii="Times New Roman" w:hAnsi="Times New Roman" w:cs="Times New Roman"/>
          <w:sz w:val="24"/>
          <w:szCs w:val="24"/>
        </w:rPr>
        <w:t>подпроцессов</w:t>
      </w:r>
      <w:proofErr w:type="spellEnd"/>
      <w:r w:rsidRPr="001E7D03">
        <w:rPr>
          <w:rFonts w:ascii="Times New Roman" w:hAnsi="Times New Roman" w:cs="Times New Roman"/>
          <w:sz w:val="24"/>
          <w:szCs w:val="24"/>
        </w:rPr>
        <w:t>, оценивают их на наличие коррупционных рисков.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Основными критериями при определении коррупционных рисков являются следующие:</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суть бизнес-процесса, предполагающая наличие лиц, стремящихся получить выгоду (преимущество), распределяемую Организацией и (или) ее отдельными работниками;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взаимодействие в рамках бизнес-процесса с представителями государственных (муниципальных) органов, государственных корпораций (компаний), организаций, созданных для выполнения задач, поставленных перед государственными органами;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наличие лиц, заинтересованных в получении недоступной им информации, которой обладают работники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 xml:space="preserve">наличие сведений о распространенности коррупционных правонарушений при реализации бизнес-процесса в организации </w:t>
      </w:r>
      <w:proofErr w:type="gramStart"/>
      <w:r w:rsidRPr="001E7D03">
        <w:rPr>
          <w:rFonts w:ascii="Times New Roman" w:hAnsi="Times New Roman" w:cs="Times New Roman"/>
          <w:sz w:val="24"/>
          <w:szCs w:val="24"/>
        </w:rPr>
        <w:t>в прошлом или аналогичных бизнес-процессов</w:t>
      </w:r>
      <w:proofErr w:type="gramEnd"/>
      <w:r w:rsidRPr="001E7D03">
        <w:rPr>
          <w:rFonts w:ascii="Times New Roman" w:hAnsi="Times New Roman" w:cs="Times New Roman"/>
          <w:sz w:val="24"/>
          <w:szCs w:val="24"/>
        </w:rPr>
        <w:t xml:space="preserve"> в других организациях.</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К числу направлений деятельности, потенциально связанных с наиболее высокими коррупционными рисками, в первую очередь относятся следующие:</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закупка товаров и услуг для нужд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получение и сдача в аренду имущества;</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любые функции, предполагающие финансирование деятельности физических и юридических лиц (например, предоставление спонсорской помощи, пожертвований и т. д.).</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lastRenderedPageBreak/>
        <w:t>Коррупционные риски могут возникать и в процессах управления персоналом организации, в частности при распределении фондов оплаты труда и принятии решений о премировании работников.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6.3.3. На этапе идентификации коррупционных рисков ответственные выделяют в каждом анализируемом бизнес-процессе критические точки и приводят общее описание возможностей для реализации коррупционных рисков в каждой критической точке.</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Признаками критической точки являются следующие:</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наличие у работника (группы работников) полномочий совершить действие (бездействие), которое позволяет получить выгоду (преимущество) работнику, структурному подразделению Организации, физическому и (или) юридическому лицу, взаимодействующему с Организацией;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взаимодействие работника (группы работников) с государственным органом (иной регулирующей организацией), уполномоченным совершать действия, важные для успешной реализации бизнес-процесса и (или) успешного функционирования Организации в целом.</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При выявлении критических точек задаются вопросы:</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 xml:space="preserve">какая выгода (преимущество) распределяется в рамках данного </w:t>
      </w:r>
      <w:proofErr w:type="spellStart"/>
      <w:r w:rsidRPr="001E7D03">
        <w:rPr>
          <w:rFonts w:ascii="Times New Roman" w:hAnsi="Times New Roman" w:cs="Times New Roman"/>
          <w:sz w:val="24"/>
          <w:szCs w:val="24"/>
        </w:rPr>
        <w:t>подпроцесса</w:t>
      </w:r>
      <w:proofErr w:type="spellEnd"/>
      <w:r w:rsidRPr="001E7D03">
        <w:rPr>
          <w:rFonts w:ascii="Times New Roman" w:hAnsi="Times New Roman" w:cs="Times New Roman"/>
          <w:sz w:val="24"/>
          <w:szCs w:val="24"/>
        </w:rPr>
        <w:t>?</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кто может быть заинтересован в неправомерном распределении этой выгоды (преимущества)?</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какие коррупционные правонарушения могут быть совершены работником в целях неправомерного распределения этой выгоды (преимущества)?</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В рамках одного бизнес-процесса может быть выявлено несколько критических точек.</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6.3.4. На 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(коррупционную схему) и должности (полномочия) работников, наличие которых требуется для реализации каждой коррупционной схемы.</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На основе анализа критических точек составляют формализованное описание коррупционных рисков в каждой выявленной критической точке, включающее в том числе:</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а) краткое описание распределяемой в критической точке выгоды (преимущества), стремление к получению которой работником (или) контрагентами является причиной совершения работником коррупционного правонарушения;</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б) перечень потенциальных выгодоприобретателей – лиц, которые стремятся извлечь выгоду (преимущество) из совершения работником коррупционного правонарушения в рассматриваемой критической точке;</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в) перечень должностей работников, без участия которых неправомерное распределение выгоды (преимущества) в критической точке невозможно или крайне затруднительно (перечень должностей, замещение которых связано с коррупционными рисками), с указанием возможной роли каждого работника в реализации коррупционной схемы;</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г) краткое описание выгоды, получаемой работником (работниками), связанными с ним лицами или непосредственно самой Организацией, в результате совершения коррупционного правонарушения;</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lastRenderedPageBreak/>
        <w:t>д) описание возможных способов передачи работнику (работникам) или должностному лицу (должностным лицам), с которым взаимодействует Организация, вознаграждения за совершение коррупционного правонарушения;</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 xml:space="preserve">е) краткое описание способа совершения коррупционного правонарушения (коррупционной схемы), </w:t>
      </w:r>
      <w:proofErr w:type="gramStart"/>
      <w:r w:rsidRPr="001E7D03">
        <w:rPr>
          <w:rFonts w:ascii="Times New Roman" w:hAnsi="Times New Roman" w:cs="Times New Roman"/>
          <w:sz w:val="24"/>
          <w:szCs w:val="24"/>
        </w:rPr>
        <w:t>например</w:t>
      </w:r>
      <w:proofErr w:type="gramEnd"/>
      <w:r w:rsidRPr="001E7D03">
        <w:rPr>
          <w:rFonts w:ascii="Times New Roman" w:hAnsi="Times New Roman" w:cs="Times New Roman"/>
          <w:sz w:val="24"/>
          <w:szCs w:val="24"/>
        </w:rPr>
        <w:t>: «Принятие решения о закупке для нужд организации товаров на заведомо невыгодных условиях в целях получения незаконного вознаграждения от поставщика»;</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ж) развернутое описание способа совершения коррупционного правонарушения (коррупционной схемы), в том числе: инициатор коррупционного взаимодействия, последовательность действий и взаимодействий работника (работников) и контрагентов по неправомерному распределению выгоды (преимущества) и передаче работнику (работникам) или должностным лицам, с которыми взаимодействует Организация, незаконного вознаграждения;</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з) состав коррупционных правонарушений, которые должны быть совершены работником (работниками) для реализации коррупционной схемы, с указанием ссылок на конкретные положения нормативных правовых актов (по возможности);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и) процедуры внутреннего контроля в рассматриваемой критической точке: работники (структурные подразделения), наделенные полномочиями по осуществлению внутреннего контроля; периодичность контрольных мероприятий; краткое описание контрольных мероприятий;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к) возможные способы обхода механизмов внутреннего контроля.</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6.4. По итогам оценки коррупционных рисков они ранжируются, и для каждой выявленной критической точки определяются возможные меры по минимизации соответствующих коррупционных рисков. Дополнительно оценивается объем финансовых затрат на реализацию этих мер, а также кадровые и иные ресурсы, необходимые для проведения соответствующих мероприятий.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6.5. Общий перечень выявленных коррупционных рисков оформляется в виде реестра (карты) коррупционных рисков. В качестве пояснения к реестру прикладывают отчет о проведении оценки коррупционных рисков, содержащий детальную информацию об использованных способах сбора необходимой информации, расчета основных показателей, обоснование предлагаемых мер по минимизации идентифицированных коррупционных рисков, а также формализованные описания коррупционных рисков в каждой выявленной критической точке.</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6.6. На основании результатов анализа коррупционных рисков формируется перечень должностей в организации, замещение которых связано с коррупционными рисками, и проект плана мероприятий по минимизации коррупционных рисков в Организации.</w:t>
      </w:r>
    </w:p>
    <w:p w:rsidR="00880FAB" w:rsidRPr="00D4197F" w:rsidRDefault="00880FAB" w:rsidP="001E7D03">
      <w:pPr>
        <w:rPr>
          <w:rFonts w:ascii="Times New Roman" w:hAnsi="Times New Roman" w:cs="Times New Roman"/>
          <w:b/>
          <w:sz w:val="24"/>
          <w:szCs w:val="24"/>
        </w:rPr>
      </w:pPr>
      <w:r w:rsidRPr="00D4197F">
        <w:rPr>
          <w:rFonts w:ascii="Times New Roman" w:hAnsi="Times New Roman" w:cs="Times New Roman"/>
          <w:b/>
          <w:sz w:val="24"/>
          <w:szCs w:val="24"/>
        </w:rPr>
        <w:t>7. Правила принятия мер по предотвращению и урегулированию конфликта интересов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7.1. Деятельность по предотвращению и урегулированию конфликта интересов в Организации осуществляется на основании следующих основных принципов: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приоритетного применения мер по предупреждению коррупции;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обязательности раскрытия сведений о реальном или потенциальном конфликте интересов;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 xml:space="preserve">индивидуального рассмотрения и оценки </w:t>
      </w:r>
      <w:proofErr w:type="spellStart"/>
      <w:r w:rsidRPr="001E7D03">
        <w:rPr>
          <w:rFonts w:ascii="Times New Roman" w:hAnsi="Times New Roman" w:cs="Times New Roman"/>
          <w:sz w:val="24"/>
          <w:szCs w:val="24"/>
        </w:rPr>
        <w:t>репутационных</w:t>
      </w:r>
      <w:proofErr w:type="spellEnd"/>
      <w:r w:rsidRPr="001E7D03">
        <w:rPr>
          <w:rFonts w:ascii="Times New Roman" w:hAnsi="Times New Roman" w:cs="Times New Roman"/>
          <w:sz w:val="24"/>
          <w:szCs w:val="24"/>
        </w:rPr>
        <w:t xml:space="preserve"> рисков для Организации при выявлении каждого конфликта интересов и его урегулировании;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конфиденциальности сведений о конфликте интересов и процессе его урегулирования;</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lastRenderedPageBreak/>
        <w:t>соблюдения баланса интересов Организации и ее работника при урегулировании конфликта интересов;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защиты работника от преследования в связи с направлением уведомления о конфликте интересов, который был своевременно раскрыт работником и урегулирован (предотвращен) Организацией.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7.2. Руководитель Организации создает комиссию по урегулированию конфликта интересов работников (далее – Комиссия), которая рассматривает и разрешает конфликт интересов работников.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7.3. В состав Комиссии входят работники Организации, председателем Комиссии является заместитель директора по УВР</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7.4. В своей деятельности Комиссия руководствуется нормами федерального, регионального, муниципального законодательства, локальными нормативными актами Организации, в том числе определяющими порядок деятельности Комиссии.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7.5. Решение Комиссии является обязательным для всех работников и подлежит исполнению в сроки, предусмотренные указанным решением.</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 xml:space="preserve">7.6. Конфликт интересов педагогического работника, понимаемый по смыслу пункта 33 статьи 2 Федерального закона от 29.12.2012 № 273-ФЗ, рассматривается на заседании комиссии по урегулированию споров между участниками образовательных отношений.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w:t>
      </w:r>
      <w:r w:rsidR="00D4197F" w:rsidRPr="00D4197F">
        <w:rPr>
          <w:rFonts w:ascii="Times New Roman" w:hAnsi="Times New Roman" w:cs="Times New Roman"/>
          <w:sz w:val="24"/>
          <w:szCs w:val="24"/>
        </w:rPr>
        <w:t>муниципального казённого общеобразовательного учреждения «</w:t>
      </w:r>
      <w:proofErr w:type="spellStart"/>
      <w:r w:rsidR="00D4197F" w:rsidRPr="00D4197F">
        <w:rPr>
          <w:rFonts w:ascii="Times New Roman" w:hAnsi="Times New Roman" w:cs="Times New Roman"/>
          <w:sz w:val="24"/>
          <w:szCs w:val="24"/>
        </w:rPr>
        <w:t>Голухинская</w:t>
      </w:r>
      <w:proofErr w:type="spellEnd"/>
      <w:r w:rsidR="00D4197F" w:rsidRPr="00D4197F">
        <w:rPr>
          <w:rFonts w:ascii="Times New Roman" w:hAnsi="Times New Roman" w:cs="Times New Roman"/>
          <w:sz w:val="24"/>
          <w:szCs w:val="24"/>
        </w:rPr>
        <w:t xml:space="preserve"> средняя общеобразовательная школа» </w:t>
      </w:r>
      <w:proofErr w:type="spellStart"/>
      <w:r w:rsidR="00D4197F" w:rsidRPr="00D4197F">
        <w:rPr>
          <w:rFonts w:ascii="Times New Roman" w:hAnsi="Times New Roman" w:cs="Times New Roman"/>
          <w:sz w:val="24"/>
          <w:szCs w:val="24"/>
        </w:rPr>
        <w:t>Заринского</w:t>
      </w:r>
      <w:proofErr w:type="spellEnd"/>
      <w:r w:rsidR="00D4197F" w:rsidRPr="00D4197F">
        <w:rPr>
          <w:rFonts w:ascii="Times New Roman" w:hAnsi="Times New Roman" w:cs="Times New Roman"/>
          <w:sz w:val="24"/>
          <w:szCs w:val="24"/>
        </w:rPr>
        <w:t xml:space="preserve"> района Алтайского края (МКОУ «</w:t>
      </w:r>
      <w:proofErr w:type="spellStart"/>
      <w:r w:rsidR="00D4197F" w:rsidRPr="00D4197F">
        <w:rPr>
          <w:rFonts w:ascii="Times New Roman" w:hAnsi="Times New Roman" w:cs="Times New Roman"/>
          <w:sz w:val="24"/>
          <w:szCs w:val="24"/>
        </w:rPr>
        <w:t>Голухинская</w:t>
      </w:r>
      <w:proofErr w:type="spellEnd"/>
      <w:r w:rsidR="00D4197F" w:rsidRPr="00D4197F">
        <w:rPr>
          <w:rFonts w:ascii="Times New Roman" w:hAnsi="Times New Roman" w:cs="Times New Roman"/>
          <w:sz w:val="24"/>
          <w:szCs w:val="24"/>
        </w:rPr>
        <w:t xml:space="preserve"> СОШ»)</w:t>
      </w:r>
      <w:r w:rsidR="00D4197F">
        <w:rPr>
          <w:rFonts w:ascii="Arial" w:eastAsia="Times New Roman" w:hAnsi="Arial" w:cs="Arial"/>
          <w:color w:val="222222"/>
          <w:sz w:val="21"/>
          <w:szCs w:val="21"/>
          <w:lang w:eastAsia="ru-RU"/>
        </w:rPr>
        <w:t> </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7.7. Работник при выполнении своих должностных обязанностей обязан:</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соблюдать интересы Организации, прежде всего в отношении целей ее деятельности;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руководствоваться интересами Организации без учета своих личных интересов, интересов своих родственников, друзей и третьих лиц;</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избегать ситуаций и обстоятельств, которые могут привести к конфликту интересов;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раскрывать возникший (реальный) или потенциальный конфликт интересов;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содействовать урегулированию возникшего конфликта интересов.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7.8. Работник при выполнении своих должностных обязанностей не должен использовать возможности Организации или допускать их использование в иных целях, помимо предусмотренных уставом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7.9. Работники обязаны принимать меры по предотвращению ситуации конфликта интересов, руководствуясь требованиями законодательства и Политикой.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7.10. Примерный перечень ситуаций, при которых возникает или может возникнуть конфликт интересов: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 xml:space="preserve">7.10.1. Директор или работник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или иным лицам, с которыми связана его личная заинтересованность. Например, в случае если одной из кандидатур на вакантную должность </w:t>
      </w:r>
      <w:r w:rsidRPr="001E7D03">
        <w:rPr>
          <w:rFonts w:ascii="Times New Roman" w:hAnsi="Times New Roman" w:cs="Times New Roman"/>
          <w:sz w:val="24"/>
          <w:szCs w:val="24"/>
        </w:rPr>
        <w:lastRenderedPageBreak/>
        <w:t>в Организации является родственник или иное лицо, с которым связана личная заинтересованность директора Организации или указанного работника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7.10.2. Работник, ответственный за закупку товаров, работ, услуг для обеспечения государственных (муниципальных) нужд, участвует в выборе из ограниченного числа поставщиков контрагента – индивидуального предпринимателя, являющегося его родственником, иным близким лицом, или организации, в которой руководителем или заместителем является его родственник или иное лицо, с которым связана личная заинтересованность работника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7.10.3. Работник,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организацией. Например, в случае если такой работник, его родственник или иное лицо получает значительную скидку на товары, работы, услуги контрагента, являющегося поставщиком товаров, работ и услуг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7.10.4. Работник использует информацию, ставшую ему известной в ходе выполнения трудовых обязанностей, для получения выгоды для себя или иного лица, с которым связана личная заинтересованность работника.</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7.10.5. Педагогический работник осуществляет частное репетиторство с обучающимся класса, в котором является классным руководителем, на территории Организации. Такой конфликт интересов рассматривается на заседании Комиссии по урегулированию споров в соответствии с пунктом 2.5 настоящего Положения.</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7.11. Раскрытие конфликта интересов осуществляется в письменной форме путем направления на имя заместителя директора по безопасности уведомления о наличии личной заинтересованности при исполнении обязанностей, которая приводит или может привести к конфликту интересов.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7.12. Допустимо первоначальное раскрытие информации о конфликте интересов в устной форме с последующей фиксацией в письменном виде.</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7.13. Порядок согласования с учредителем сделок с заинтересованностью и случаи, при которых такое согласование необходимо, определяется статьей 27 Федерального закона от 12.01.1996 № 7-ФЗ, а также региональными и муниципальными нормативными правовыми актами. В случае несоблюдения предусмотренного законодательством порядка одобрения такая сделка может быть признана судом недействительной.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7.14. Способами урегулирования конфликта интересов в организации могут быть:</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ограничение доступа работника к информации, которая может затрагивать его личные интересы;</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пересмотр и изменение должностных обязанностей работника;</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перевод работника на должность, предусматривающую выполнение функциональных обязанностей, исключающих конфликт интересов, в соответствии с Трудовым кодексом РФ;</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lastRenderedPageBreak/>
        <w:t>отказ работника от своего личного интереса, порождающего конфликт с интересами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увольнение работника по основаниям, установленным Трудовым кодексом РФ;</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отказ работника от принятия решения в пользу лица, с которым связана личная заинтересованность работника;</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установление правил, запрещающих работникам разглашение или использование в личных целях информации, ставшей известной в связи с выполнением трудовых обязанностей;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внесение изменений в локальные нормативные акты организации, связанные с порядком оказания платных образовательных услуг, в том числе касающиеся запрета на частное репетиторство на территории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иные способы урегулирования конфликта интересов.</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7. 15. При урегулировании конфликта интересов учитывается степень личного интереса работника и вероятность того, что его личный интерес будет реализован в ущерб интересам Организации.</w:t>
      </w:r>
    </w:p>
    <w:p w:rsidR="00880FAB" w:rsidRPr="00D4197F" w:rsidRDefault="00880FAB" w:rsidP="001E7D03">
      <w:pPr>
        <w:rPr>
          <w:rFonts w:ascii="Times New Roman" w:hAnsi="Times New Roman" w:cs="Times New Roman"/>
          <w:b/>
          <w:sz w:val="24"/>
          <w:szCs w:val="24"/>
        </w:rPr>
      </w:pPr>
      <w:r w:rsidRPr="00D4197F">
        <w:rPr>
          <w:rFonts w:ascii="Times New Roman" w:hAnsi="Times New Roman" w:cs="Times New Roman"/>
          <w:b/>
          <w:sz w:val="24"/>
          <w:szCs w:val="24"/>
        </w:rPr>
        <w:t>8. Порядок взаимодействия с правоохранительными и иными государственными органами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8.1. Организация сообщает в соответствующие правоохранительные органы о случаях совершения коррупционных правонарушений, о которых Организации и ее работникам стало известно.</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8.2. Организации воздерживается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8.3. В случае обнаружения признаков коррупционных правонарушений Организация и ее работники обязаны обращаться в соответствующие правоохранительные органы:</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Следственный комитет РФ;</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Главное управление экономической безопасности и противодействия коррупции Министерства внутренних дел РФ;</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Главное управление собственной безопасности Министерства внутренних дел РФ – если сообщение о фактах коррупции касается непосредственно системы МВД России;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прокуратуру субъекта РФ.</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8.4. Организация сотрудничает с правоохранительными органами также в форме:</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w:t>
      </w:r>
      <w:proofErr w:type="spellStart"/>
      <w:r w:rsidRPr="001E7D03">
        <w:rPr>
          <w:rFonts w:ascii="Times New Roman" w:hAnsi="Times New Roman" w:cs="Times New Roman"/>
          <w:sz w:val="24"/>
          <w:szCs w:val="24"/>
        </w:rPr>
        <w:t>разыскные</w:t>
      </w:r>
      <w:proofErr w:type="spellEnd"/>
      <w:r w:rsidRPr="001E7D03">
        <w:rPr>
          <w:rFonts w:ascii="Times New Roman" w:hAnsi="Times New Roman" w:cs="Times New Roman"/>
          <w:sz w:val="24"/>
          <w:szCs w:val="24"/>
        </w:rPr>
        <w:t xml:space="preserve"> мероприятия.</w:t>
      </w:r>
    </w:p>
    <w:p w:rsidR="00880FAB" w:rsidRPr="00D4197F" w:rsidRDefault="00880FAB" w:rsidP="001E7D03">
      <w:pPr>
        <w:rPr>
          <w:rFonts w:ascii="Times New Roman" w:hAnsi="Times New Roman" w:cs="Times New Roman"/>
          <w:b/>
          <w:sz w:val="24"/>
          <w:szCs w:val="24"/>
        </w:rPr>
      </w:pPr>
      <w:r w:rsidRPr="00D4197F">
        <w:rPr>
          <w:rFonts w:ascii="Times New Roman" w:hAnsi="Times New Roman" w:cs="Times New Roman"/>
          <w:b/>
          <w:sz w:val="24"/>
          <w:szCs w:val="24"/>
        </w:rPr>
        <w:t>9. Антикоррупционная программа</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lastRenderedPageBreak/>
        <w:t>9.1. Организация разрабатывает программу противодействия коррупции с целью упорядочивания антикоррупционных мероприятий Организации.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9.2. Программа противодействия коррупции включает:</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пояснительную записку;</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паспорт программы с указанием сроков ее реализации;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основную часть с планом программных мероприятий.</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9.3. Программа противодействия коррупции является частью антикоррупционной политики Организации.</w:t>
      </w:r>
    </w:p>
    <w:p w:rsidR="00880FAB" w:rsidRPr="00D4197F" w:rsidRDefault="00880FAB" w:rsidP="001E7D03">
      <w:pPr>
        <w:rPr>
          <w:rFonts w:ascii="Times New Roman" w:hAnsi="Times New Roman" w:cs="Times New Roman"/>
          <w:b/>
          <w:sz w:val="24"/>
          <w:szCs w:val="24"/>
        </w:rPr>
      </w:pPr>
      <w:r w:rsidRPr="00D4197F">
        <w:rPr>
          <w:rFonts w:ascii="Times New Roman" w:hAnsi="Times New Roman" w:cs="Times New Roman"/>
          <w:b/>
          <w:sz w:val="24"/>
          <w:szCs w:val="24"/>
        </w:rPr>
        <w:t>10. Изменение Политики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10.1. Пересмотр Политики может проводиться в случае внесения соответствующих изменений в действующее законодательство РФ по противодействию коррупции.</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10.2. Должностное лицо, ответственное за реализацию Политики, ежегодно готовит отчет о реализации мер по предупреждению коррупции, представляет его руководителю Организации. На основании указанного отчета в Политику могут быть внесены изменения.</w:t>
      </w:r>
    </w:p>
    <w:p w:rsidR="00880FAB" w:rsidRPr="001E7D03" w:rsidRDefault="00880FAB" w:rsidP="001E7D03">
      <w:pPr>
        <w:rPr>
          <w:rFonts w:ascii="Times New Roman" w:hAnsi="Times New Roman" w:cs="Times New Roman"/>
          <w:sz w:val="24"/>
          <w:szCs w:val="24"/>
        </w:rPr>
      </w:pPr>
      <w:r w:rsidRPr="001E7D03">
        <w:rPr>
          <w:rFonts w:ascii="Times New Roman" w:hAnsi="Times New Roman" w:cs="Times New Roman"/>
          <w:sz w:val="24"/>
          <w:szCs w:val="24"/>
        </w:rPr>
        <w:t>10.3. Внесение изменений и дополнений в Политику осуществляется путем подготовки проекта Политики в обновленной редакции и утверждения новой Политики руководителем Организации.</w:t>
      </w:r>
    </w:p>
    <w:p w:rsidR="0071171B" w:rsidRDefault="00E34730"/>
    <w:sectPr w:rsidR="0071171B" w:rsidSect="00D4197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331F"/>
    <w:multiLevelType w:val="multilevel"/>
    <w:tmpl w:val="EE9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855EA"/>
    <w:multiLevelType w:val="multilevel"/>
    <w:tmpl w:val="7E36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D3F43"/>
    <w:multiLevelType w:val="multilevel"/>
    <w:tmpl w:val="6AA4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305D6"/>
    <w:multiLevelType w:val="multilevel"/>
    <w:tmpl w:val="0A1C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53DFD"/>
    <w:multiLevelType w:val="multilevel"/>
    <w:tmpl w:val="9D8A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F6FC5"/>
    <w:multiLevelType w:val="multilevel"/>
    <w:tmpl w:val="358C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F044C"/>
    <w:multiLevelType w:val="multilevel"/>
    <w:tmpl w:val="2594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86BB6"/>
    <w:multiLevelType w:val="multilevel"/>
    <w:tmpl w:val="E58A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56C81"/>
    <w:multiLevelType w:val="multilevel"/>
    <w:tmpl w:val="DC0E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513497"/>
    <w:multiLevelType w:val="multilevel"/>
    <w:tmpl w:val="A0E4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C2294"/>
    <w:multiLevelType w:val="multilevel"/>
    <w:tmpl w:val="83EE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82468"/>
    <w:multiLevelType w:val="multilevel"/>
    <w:tmpl w:val="E862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CB4CD2"/>
    <w:multiLevelType w:val="multilevel"/>
    <w:tmpl w:val="A5E4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C80FD7"/>
    <w:multiLevelType w:val="multilevel"/>
    <w:tmpl w:val="A916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44088B"/>
    <w:multiLevelType w:val="multilevel"/>
    <w:tmpl w:val="FB66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8B7269"/>
    <w:multiLevelType w:val="multilevel"/>
    <w:tmpl w:val="CBCE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35B63"/>
    <w:multiLevelType w:val="multilevel"/>
    <w:tmpl w:val="65A8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1"/>
  </w:num>
  <w:num w:numId="4">
    <w:abstractNumId w:val="9"/>
  </w:num>
  <w:num w:numId="5">
    <w:abstractNumId w:val="0"/>
  </w:num>
  <w:num w:numId="6">
    <w:abstractNumId w:val="12"/>
  </w:num>
  <w:num w:numId="7">
    <w:abstractNumId w:val="5"/>
  </w:num>
  <w:num w:numId="8">
    <w:abstractNumId w:val="8"/>
  </w:num>
  <w:num w:numId="9">
    <w:abstractNumId w:val="15"/>
  </w:num>
  <w:num w:numId="10">
    <w:abstractNumId w:val="6"/>
  </w:num>
  <w:num w:numId="11">
    <w:abstractNumId w:val="3"/>
  </w:num>
  <w:num w:numId="12">
    <w:abstractNumId w:val="2"/>
  </w:num>
  <w:num w:numId="13">
    <w:abstractNumId w:val="4"/>
  </w:num>
  <w:num w:numId="14">
    <w:abstractNumId w:val="14"/>
  </w:num>
  <w:num w:numId="15">
    <w:abstractNumId w:val="7"/>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B"/>
    <w:rsid w:val="001E7D03"/>
    <w:rsid w:val="007738C2"/>
    <w:rsid w:val="00830C06"/>
    <w:rsid w:val="00880FAB"/>
    <w:rsid w:val="00D4197F"/>
    <w:rsid w:val="00E34730"/>
    <w:rsid w:val="00F41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0926"/>
  <w15:chartTrackingRefBased/>
  <w15:docId w15:val="{8E2A5B18-7BDD-45CC-A354-67F46B74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59256">
      <w:bodyDiv w:val="1"/>
      <w:marLeft w:val="0"/>
      <w:marRight w:val="0"/>
      <w:marTop w:val="0"/>
      <w:marBottom w:val="0"/>
      <w:divBdr>
        <w:top w:val="none" w:sz="0" w:space="0" w:color="auto"/>
        <w:left w:val="none" w:sz="0" w:space="0" w:color="auto"/>
        <w:bottom w:val="none" w:sz="0" w:space="0" w:color="auto"/>
        <w:right w:val="none" w:sz="0" w:space="0" w:color="auto"/>
      </w:divBdr>
    </w:div>
    <w:div w:id="19299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11</Pages>
  <Words>4097</Words>
  <Characters>23354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2023-06-21T03:49:00Z</dcterms:created>
  <dcterms:modified xsi:type="dcterms:W3CDTF">2023-06-21T06:19:00Z</dcterms:modified>
</cp:coreProperties>
</file>